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F8303">
      <w:pPr>
        <w:spacing w:line="560" w:lineRule="exact"/>
        <w:jc w:val="both"/>
        <w:rPr>
          <w:rFonts w:hint="eastAsia" w:ascii="宋体" w:hAnsi="宋体" w:eastAsia="方正黑体简体" w:cs="方正黑体简体"/>
          <w:b w:val="0"/>
          <w:bCs/>
          <w:color w:val="auto"/>
          <w:sz w:val="32"/>
          <w:szCs w:val="32"/>
        </w:rPr>
      </w:pPr>
      <w:r>
        <w:rPr>
          <w:rFonts w:hint="eastAsia" w:ascii="宋体" w:hAnsi="宋体" w:eastAsia="方正黑体简体" w:cs="方正黑体简体"/>
          <w:b w:val="0"/>
          <w:bCs/>
          <w:color w:val="auto"/>
          <w:sz w:val="32"/>
          <w:szCs w:val="32"/>
        </w:rPr>
        <w:t>附件</w:t>
      </w:r>
    </w:p>
    <w:p w14:paraId="24DCED78">
      <w:pPr>
        <w:spacing w:line="560" w:lineRule="exact"/>
        <w:jc w:val="both"/>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自治区“访惠聚”驻村等专业技术人员职称评审</w:t>
      </w:r>
    </w:p>
    <w:p w14:paraId="473162C8">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8"/>
          <w:sz w:val="44"/>
          <w:szCs w:val="44"/>
        </w:rPr>
        <w:t>免除继续教育学习</w:t>
      </w:r>
      <w:r>
        <w:rPr>
          <w:rFonts w:hint="eastAsia" w:ascii="方正小标宋简体" w:hAnsi="方正小标宋简体" w:eastAsia="方正小标宋简体" w:cs="方正小标宋简体"/>
          <w:spacing w:val="-8"/>
          <w:sz w:val="44"/>
          <w:szCs w:val="44"/>
          <w:lang w:val="en-US" w:eastAsia="zh-CN"/>
        </w:rPr>
        <w:t>申请</w:t>
      </w:r>
      <w:r>
        <w:rPr>
          <w:rFonts w:hint="eastAsia" w:ascii="方正小标宋简体" w:hAnsi="方正小标宋简体" w:eastAsia="方正小标宋简体" w:cs="方正小标宋简体"/>
          <w:spacing w:val="-8"/>
          <w:sz w:val="44"/>
          <w:szCs w:val="44"/>
        </w:rPr>
        <w:t>表</w:t>
      </w:r>
    </w:p>
    <w:tbl>
      <w:tblPr>
        <w:tblStyle w:val="4"/>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14:paraId="12DA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14:paraId="7EE9D633">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14:paraId="5A369975">
            <w:pPr>
              <w:spacing w:line="560" w:lineRule="exact"/>
              <w:jc w:val="center"/>
              <w:rPr>
                <w:rFonts w:hint="eastAsia" w:ascii="楷体_GB2312" w:eastAsia="楷体_GB2312"/>
                <w:sz w:val="24"/>
                <w:szCs w:val="28"/>
              </w:rPr>
            </w:pPr>
          </w:p>
        </w:tc>
        <w:tc>
          <w:tcPr>
            <w:tcW w:w="765" w:type="dxa"/>
            <w:noWrap w:val="0"/>
            <w:vAlign w:val="center"/>
          </w:tcPr>
          <w:p w14:paraId="286CE9A4">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14:paraId="34F0857C">
            <w:pPr>
              <w:spacing w:line="560" w:lineRule="exact"/>
              <w:jc w:val="center"/>
              <w:rPr>
                <w:rFonts w:hint="eastAsia" w:ascii="楷体_GB2312" w:eastAsia="楷体_GB2312"/>
                <w:sz w:val="24"/>
                <w:szCs w:val="28"/>
              </w:rPr>
            </w:pPr>
          </w:p>
        </w:tc>
        <w:tc>
          <w:tcPr>
            <w:tcW w:w="1350" w:type="dxa"/>
            <w:gridSpan w:val="2"/>
            <w:noWrap w:val="0"/>
            <w:vAlign w:val="center"/>
          </w:tcPr>
          <w:p w14:paraId="46E80747">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14:paraId="18CB5F42">
            <w:pPr>
              <w:spacing w:line="560" w:lineRule="exact"/>
              <w:jc w:val="center"/>
              <w:rPr>
                <w:rFonts w:hint="eastAsia" w:ascii="楷体_GB2312" w:eastAsia="楷体_GB2312"/>
                <w:sz w:val="24"/>
                <w:szCs w:val="28"/>
                <w:lang w:val="en-US" w:eastAsia="zh-CN"/>
              </w:rPr>
            </w:pPr>
          </w:p>
        </w:tc>
      </w:tr>
      <w:tr w14:paraId="5740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14:paraId="13B80C70">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14:paraId="72EDD507">
            <w:pPr>
              <w:spacing w:line="560" w:lineRule="exact"/>
              <w:jc w:val="center"/>
              <w:rPr>
                <w:rFonts w:hint="eastAsia" w:ascii="楷体_GB2312" w:eastAsia="楷体_GB2312"/>
                <w:sz w:val="24"/>
                <w:szCs w:val="28"/>
              </w:rPr>
            </w:pPr>
          </w:p>
        </w:tc>
        <w:tc>
          <w:tcPr>
            <w:tcW w:w="765" w:type="dxa"/>
            <w:noWrap w:val="0"/>
            <w:vAlign w:val="center"/>
          </w:tcPr>
          <w:p w14:paraId="4AD0E908">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14:paraId="4260BD35">
            <w:pPr>
              <w:spacing w:line="560" w:lineRule="exact"/>
              <w:jc w:val="center"/>
              <w:rPr>
                <w:rFonts w:hint="eastAsia" w:ascii="楷体_GB2312" w:eastAsia="楷体_GB2312"/>
                <w:sz w:val="24"/>
                <w:szCs w:val="28"/>
              </w:rPr>
            </w:pPr>
          </w:p>
        </w:tc>
        <w:tc>
          <w:tcPr>
            <w:tcW w:w="1350" w:type="dxa"/>
            <w:gridSpan w:val="2"/>
            <w:noWrap w:val="0"/>
            <w:vAlign w:val="center"/>
          </w:tcPr>
          <w:p w14:paraId="2E13B269">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14:paraId="563C4E8C">
            <w:pPr>
              <w:spacing w:line="560" w:lineRule="exact"/>
              <w:jc w:val="center"/>
              <w:rPr>
                <w:rFonts w:hint="eastAsia" w:ascii="楷体_GB2312" w:eastAsia="楷体_GB2312"/>
                <w:sz w:val="24"/>
                <w:szCs w:val="28"/>
              </w:rPr>
            </w:pPr>
          </w:p>
        </w:tc>
      </w:tr>
      <w:tr w14:paraId="4113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14:paraId="63C8B269">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14:paraId="04B44B46">
            <w:pPr>
              <w:spacing w:line="560" w:lineRule="exact"/>
              <w:jc w:val="center"/>
              <w:rPr>
                <w:rFonts w:hint="eastAsia" w:ascii="楷体_GB2312" w:eastAsia="楷体_GB2312"/>
                <w:sz w:val="24"/>
                <w:szCs w:val="28"/>
              </w:rPr>
            </w:pPr>
          </w:p>
        </w:tc>
      </w:tr>
      <w:tr w14:paraId="49CE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14:paraId="5C5589B9">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14:paraId="7ADBF9A4">
            <w:pPr>
              <w:spacing w:line="560" w:lineRule="exact"/>
              <w:jc w:val="center"/>
              <w:rPr>
                <w:rFonts w:hint="eastAsia" w:ascii="楷体_GB2312" w:eastAsia="楷体_GB2312"/>
                <w:sz w:val="24"/>
                <w:szCs w:val="28"/>
              </w:rPr>
            </w:pPr>
          </w:p>
        </w:tc>
        <w:tc>
          <w:tcPr>
            <w:tcW w:w="2258" w:type="dxa"/>
            <w:gridSpan w:val="2"/>
            <w:noWrap w:val="0"/>
            <w:vAlign w:val="center"/>
          </w:tcPr>
          <w:p w14:paraId="72147B23">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14:paraId="1E0E1909">
            <w:pPr>
              <w:spacing w:line="560" w:lineRule="exact"/>
              <w:jc w:val="center"/>
              <w:rPr>
                <w:rFonts w:hint="eastAsia" w:ascii="楷体_GB2312" w:eastAsia="楷体_GB2312"/>
                <w:sz w:val="24"/>
                <w:szCs w:val="28"/>
              </w:rPr>
            </w:pPr>
          </w:p>
        </w:tc>
      </w:tr>
      <w:tr w14:paraId="3936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14:paraId="62F6C4A0">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14:paraId="45C28756">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14:paraId="3219A9C0">
            <w:pPr>
              <w:spacing w:line="420" w:lineRule="exact"/>
              <w:jc w:val="center"/>
              <w:rPr>
                <w:rFonts w:hint="eastAsia" w:ascii="楷体_GB2312" w:eastAsia="楷体_GB2312"/>
                <w:sz w:val="24"/>
                <w:szCs w:val="28"/>
              </w:rPr>
            </w:pPr>
          </w:p>
        </w:tc>
        <w:tc>
          <w:tcPr>
            <w:tcW w:w="2258" w:type="dxa"/>
            <w:gridSpan w:val="2"/>
            <w:noWrap w:val="0"/>
            <w:vAlign w:val="center"/>
          </w:tcPr>
          <w:p w14:paraId="74454FFD">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14:paraId="7F9537C4">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14:paraId="355EFFBA">
            <w:pPr>
              <w:spacing w:line="420" w:lineRule="exact"/>
              <w:jc w:val="center"/>
              <w:rPr>
                <w:rFonts w:hint="eastAsia" w:ascii="楷体_GB2312" w:eastAsia="楷体_GB2312"/>
                <w:sz w:val="24"/>
                <w:szCs w:val="28"/>
              </w:rPr>
            </w:pPr>
          </w:p>
        </w:tc>
      </w:tr>
      <w:tr w14:paraId="279F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trPr>
        <w:tc>
          <w:tcPr>
            <w:tcW w:w="2625" w:type="dxa"/>
            <w:noWrap w:val="0"/>
            <w:vAlign w:val="center"/>
          </w:tcPr>
          <w:p w14:paraId="75F51903">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14:paraId="6055C6F2">
            <w:pPr>
              <w:spacing w:line="420" w:lineRule="exact"/>
              <w:jc w:val="center"/>
              <w:rPr>
                <w:rFonts w:hint="eastAsia" w:ascii="楷体_GB2312" w:eastAsia="楷体_GB2312"/>
                <w:sz w:val="24"/>
                <w:szCs w:val="28"/>
              </w:rPr>
            </w:pPr>
          </w:p>
        </w:tc>
      </w:tr>
      <w:tr w14:paraId="41E5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trPr>
        <w:tc>
          <w:tcPr>
            <w:tcW w:w="2625" w:type="dxa"/>
            <w:noWrap w:val="0"/>
            <w:vAlign w:val="center"/>
          </w:tcPr>
          <w:p w14:paraId="6BBA38AC">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14:paraId="51657C96">
            <w:pPr>
              <w:spacing w:line="420" w:lineRule="exact"/>
              <w:jc w:val="center"/>
              <w:rPr>
                <w:rFonts w:hint="eastAsia" w:ascii="楷体_GB2312" w:eastAsia="楷体_GB2312"/>
                <w:sz w:val="24"/>
                <w:szCs w:val="28"/>
              </w:rPr>
            </w:pPr>
          </w:p>
          <w:p w14:paraId="44B3E669">
            <w:pPr>
              <w:spacing w:line="420" w:lineRule="exact"/>
              <w:jc w:val="center"/>
              <w:rPr>
                <w:rFonts w:hint="eastAsia" w:ascii="楷体_GB2312" w:eastAsia="楷体_GB2312"/>
                <w:sz w:val="24"/>
                <w:szCs w:val="28"/>
              </w:rPr>
            </w:pPr>
          </w:p>
          <w:p w14:paraId="502A2D3E">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14:paraId="7118A5FB">
            <w:pPr>
              <w:spacing w:line="420" w:lineRule="exact"/>
              <w:jc w:val="center"/>
              <w:rPr>
                <w:rFonts w:hint="eastAsia" w:ascii="楷体_GB2312" w:eastAsia="楷体_GB2312"/>
                <w:sz w:val="24"/>
                <w:szCs w:val="28"/>
                <w:lang w:val="en-US" w:eastAsia="zh-CN"/>
              </w:rPr>
            </w:pPr>
          </w:p>
          <w:p w14:paraId="44937E50">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14:paraId="21B2B2EC">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14:paraId="5269B2B8">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14:paraId="5F6EA5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p>
    <w:p w14:paraId="4F90CF6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注：1.仍在参加“访惠聚”驻村（含抽调到各级“访惠聚”办公室）工作的专业技术人员，由同级“访惠聚”办公室审核；参加驻村管寺、南疆学前双语教育干部支教工作的专业技术人员，由同级党委统战部门或南疆五地州学前双语教育干部支教工作领导小组办公室审核。</w:t>
      </w:r>
    </w:p>
    <w:p w14:paraId="2A0DC701">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14:paraId="094F3743">
      <w:pPr>
        <w:rPr>
          <w:rFonts w:hint="default"/>
          <w:lang w:val="en-US"/>
        </w:rPr>
      </w:pPr>
      <w:r>
        <w:rPr>
          <w:rFonts w:hint="eastAsia" w:ascii="仿宋_GB2312" w:hAnsi="仿宋_GB2312" w:eastAsia="仿宋_GB2312" w:cs="仿宋_GB2312"/>
          <w:b/>
          <w:bCs/>
          <w:color w:val="000000"/>
          <w:kern w:val="2"/>
          <w:sz w:val="24"/>
          <w:szCs w:val="24"/>
          <w:lang w:val="en-US" w:eastAsia="zh-CN" w:bidi="ar-SA"/>
        </w:rPr>
        <w:t>3.各地各部门不得私自设置免除继续教育学习事项及申请表（审批表）.</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A1A2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840C7C">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67840C7C">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NzczOTE1NTIyNGVjZDhiOGViMmIyYjhjOGQxZDkifQ=="/>
  </w:docVars>
  <w:rsids>
    <w:rsidRoot w:val="77BA0451"/>
    <w:rsid w:val="77BA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2024-08-21T02:45:00Z</dcterms:created>
  <dc:creator>xjdzs23</dc:creator>
  <cp:lastModifiedBy>xjdzs23</cp:lastModifiedBy>
  <dcterms:modified xsi:type="dcterms:W3CDTF">2024-08-21T02:47:18Z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FB60E18DEDC44F5CB326E4C799F9C5F6_11</vt:lpwstr>
  </property>
</Properties>
</file>